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05B" w:rsidRPr="0091205B" w:rsidRDefault="0091205B" w:rsidP="0091205B">
      <w:pPr>
        <w:spacing w:after="200" w:afterAutospacing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91205B">
        <w:rPr>
          <w:rFonts w:ascii="Times New Roman" w:hAnsi="Times New Roman" w:cs="Times New Roman"/>
          <w:b/>
          <w:i/>
          <w:sz w:val="28"/>
          <w:szCs w:val="28"/>
        </w:rPr>
        <w:t>Dora the Explorer and Language Ideologies</w:t>
      </w:r>
    </w:p>
    <w:p w:rsidR="0091205B" w:rsidRDefault="0091205B" w:rsidP="0091205B">
      <w:pPr>
        <w:spacing w:after="200" w:afterAutospacing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Illinois TESOL/BE Conference, February 2011</w:t>
      </w:r>
    </w:p>
    <w:p w:rsidR="0091205B" w:rsidRDefault="0091205B" w:rsidP="0091205B">
      <w:pPr>
        <w:spacing w:after="200" w:afterAutospacing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Carolyn Hunt, Illinois State University, </w:t>
      </w:r>
      <w:hyperlink r:id="rId7" w:history="1">
        <w:r w:rsidRPr="004E4982">
          <w:rPr>
            <w:rStyle w:val="Hyperlink"/>
            <w:rFonts w:ascii="Times New Roman" w:hAnsi="Times New Roman" w:cs="Times New Roman"/>
            <w:sz w:val="24"/>
            <w:szCs w:val="24"/>
          </w:rPr>
          <w:t>cshunt@ilstu.e</w:t>
        </w:r>
        <w:r w:rsidRPr="004E4982">
          <w:rPr>
            <w:rStyle w:val="Hyperlink"/>
            <w:rFonts w:ascii="Times New Roman" w:hAnsi="Times New Roman" w:cs="Times New Roman"/>
            <w:sz w:val="24"/>
            <w:szCs w:val="24"/>
          </w:rPr>
          <w:t>d</w:t>
        </w:r>
        <w:r w:rsidRPr="004E4982">
          <w:rPr>
            <w:rStyle w:val="Hyperlink"/>
            <w:rFonts w:ascii="Times New Roman" w:hAnsi="Times New Roman" w:cs="Times New Roman"/>
            <w:sz w:val="24"/>
            <w:szCs w:val="24"/>
          </w:rPr>
          <w:t>u</w:t>
        </w:r>
      </w:hyperlink>
    </w:p>
    <w:p w:rsidR="0091205B" w:rsidRDefault="0091205B" w:rsidP="0091205B">
      <w:pPr>
        <w:spacing w:after="200" w:afterAutospacing="0" w:line="240" w:lineRule="auto"/>
        <w:rPr>
          <w:rFonts w:ascii="Times New Roman" w:hAnsi="Times New Roman" w:cs="Times New Roman"/>
          <w:sz w:val="24"/>
          <w:szCs w:val="24"/>
        </w:rPr>
      </w:pPr>
    </w:p>
    <w:p w:rsidR="0091205B" w:rsidRDefault="000D23F0" w:rsidP="0091205B">
      <w:pPr>
        <w:spacing w:after="200" w:afterAutospacing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91205B">
        <w:rPr>
          <w:rFonts w:ascii="Times New Roman" w:hAnsi="Times New Roman" w:cs="Times New Roman"/>
          <w:b/>
          <w:sz w:val="24"/>
          <w:szCs w:val="24"/>
          <w:u w:val="single"/>
        </w:rPr>
        <w:t>Language ideologies</w:t>
      </w:r>
      <w:r w:rsidRPr="009120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0000" w:rsidRPr="0091205B" w:rsidRDefault="000D23F0" w:rsidP="0091205B">
      <w:pPr>
        <w:pStyle w:val="ListParagraph"/>
        <w:numPr>
          <w:ilvl w:val="0"/>
          <w:numId w:val="3"/>
        </w:numPr>
        <w:spacing w:after="200" w:afterAutospacing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91205B">
        <w:rPr>
          <w:rFonts w:ascii="Times New Roman" w:hAnsi="Times New Roman" w:cs="Times New Roman"/>
          <w:sz w:val="24"/>
          <w:szCs w:val="24"/>
        </w:rPr>
        <w:t>“</w:t>
      </w:r>
      <w:r w:rsidR="0091205B" w:rsidRPr="0091205B">
        <w:rPr>
          <w:rFonts w:ascii="Times New Roman" w:hAnsi="Times New Roman" w:cs="Times New Roman"/>
          <w:sz w:val="24"/>
          <w:szCs w:val="24"/>
        </w:rPr>
        <w:t>…</w:t>
      </w:r>
      <w:r w:rsidRPr="0091205B">
        <w:rPr>
          <w:rFonts w:ascii="Times New Roman" w:hAnsi="Times New Roman" w:cs="Times New Roman"/>
          <w:sz w:val="24"/>
          <w:szCs w:val="24"/>
        </w:rPr>
        <w:t xml:space="preserve">those complex systems of ideas and interests through which people interpret linguistic behaviors” (Irvine, </w:t>
      </w:r>
      <w:r w:rsidR="0091205B" w:rsidRPr="0091205B">
        <w:rPr>
          <w:rFonts w:ascii="Times New Roman" w:hAnsi="Times New Roman" w:cs="Times New Roman"/>
          <w:sz w:val="24"/>
          <w:szCs w:val="24"/>
        </w:rPr>
        <w:t xml:space="preserve">  </w:t>
      </w:r>
      <w:r w:rsidRPr="0091205B">
        <w:rPr>
          <w:rFonts w:ascii="Times New Roman" w:hAnsi="Times New Roman" w:cs="Times New Roman"/>
          <w:sz w:val="24"/>
          <w:szCs w:val="24"/>
        </w:rPr>
        <w:t>1998, p. 52).</w:t>
      </w:r>
    </w:p>
    <w:p w:rsidR="00000000" w:rsidRDefault="000D23F0" w:rsidP="0091205B">
      <w:pPr>
        <w:pStyle w:val="ListParagraph"/>
        <w:numPr>
          <w:ilvl w:val="0"/>
          <w:numId w:val="3"/>
        </w:numPr>
        <w:spacing w:after="200" w:afterAutospacing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91205B">
        <w:rPr>
          <w:rFonts w:ascii="Times New Roman" w:hAnsi="Times New Roman" w:cs="Times New Roman"/>
          <w:sz w:val="24"/>
          <w:szCs w:val="24"/>
        </w:rPr>
        <w:t xml:space="preserve">“As people interact through language, they draw on and </w:t>
      </w:r>
      <w:r w:rsidRPr="0091205B">
        <w:rPr>
          <w:rFonts w:ascii="Times New Roman" w:hAnsi="Times New Roman" w:cs="Times New Roman"/>
          <w:sz w:val="24"/>
          <w:szCs w:val="24"/>
        </w:rPr>
        <w:t xml:space="preserve">create ideologies about language, thereby developing linguistic worldviews or epistemologies that guide them in deciding how to speak and what to say” (Mertz, 1998, p. 151). </w:t>
      </w:r>
    </w:p>
    <w:p w:rsidR="0091205B" w:rsidRDefault="0091205B" w:rsidP="0091205B">
      <w:pPr>
        <w:pStyle w:val="ListParagraph"/>
        <w:numPr>
          <w:ilvl w:val="0"/>
          <w:numId w:val="3"/>
        </w:numPr>
        <w:spacing w:after="200" w:afterAutospacing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Language ideologies matter for teachers because they affect instructional decisions and interactions with students. </w:t>
      </w:r>
    </w:p>
    <w:p w:rsidR="00000000" w:rsidRDefault="0091205B" w:rsidP="0091205B">
      <w:pPr>
        <w:pStyle w:val="ListParagraph"/>
        <w:numPr>
          <w:ilvl w:val="0"/>
          <w:numId w:val="3"/>
        </w:numPr>
        <w:spacing w:after="200" w:afterAutospacing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Dora the Explorer </w:t>
      </w:r>
      <w:r>
        <w:rPr>
          <w:rFonts w:ascii="Times New Roman" w:hAnsi="Times New Roman" w:cs="Times New Roman"/>
          <w:sz w:val="24"/>
          <w:szCs w:val="24"/>
        </w:rPr>
        <w:t>is a rich site for exploring and uncovering language ideologies because a</w:t>
      </w:r>
      <w:r w:rsidR="000D23F0" w:rsidRPr="0091205B">
        <w:rPr>
          <w:rFonts w:ascii="Times New Roman" w:hAnsi="Times New Roman" w:cs="Times New Roman"/>
          <w:sz w:val="24"/>
          <w:szCs w:val="24"/>
        </w:rPr>
        <w:t xml:space="preserve">s </w:t>
      </w:r>
      <w:proofErr w:type="spellStart"/>
      <w:r w:rsidR="000D23F0" w:rsidRPr="0091205B">
        <w:rPr>
          <w:rFonts w:ascii="Times New Roman" w:hAnsi="Times New Roman" w:cs="Times New Roman"/>
          <w:sz w:val="24"/>
          <w:szCs w:val="24"/>
        </w:rPr>
        <w:t>Guidotti</w:t>
      </w:r>
      <w:proofErr w:type="spellEnd"/>
      <w:r w:rsidR="000D23F0" w:rsidRPr="0091205B">
        <w:rPr>
          <w:rFonts w:ascii="Times New Roman" w:hAnsi="Times New Roman" w:cs="Times New Roman"/>
          <w:sz w:val="24"/>
          <w:szCs w:val="24"/>
        </w:rPr>
        <w:t>-Hernandez (2007) argues, “</w:t>
      </w:r>
      <w:r w:rsidR="000D23F0" w:rsidRPr="0091205B">
        <w:rPr>
          <w:rFonts w:ascii="Times New Roman" w:hAnsi="Times New Roman" w:cs="Times New Roman"/>
          <w:i/>
          <w:iCs/>
          <w:sz w:val="24"/>
          <w:szCs w:val="24"/>
        </w:rPr>
        <w:t xml:space="preserve">Dora the Explorer </w:t>
      </w:r>
      <w:r w:rsidR="000D23F0" w:rsidRPr="0091205B">
        <w:rPr>
          <w:rFonts w:ascii="Times New Roman" w:hAnsi="Times New Roman" w:cs="Times New Roman"/>
          <w:sz w:val="24"/>
          <w:szCs w:val="24"/>
        </w:rPr>
        <w:t>engages a number of comp</w:t>
      </w:r>
      <w:r w:rsidR="000D23F0" w:rsidRPr="0091205B">
        <w:rPr>
          <w:rFonts w:ascii="Times New Roman" w:hAnsi="Times New Roman" w:cs="Times New Roman"/>
          <w:sz w:val="24"/>
          <w:szCs w:val="24"/>
        </w:rPr>
        <w:t xml:space="preserve">eting discourses that situate her at the politically dangerous crossroads of race, citizenship, nation, and universal Latino/a subjectivity” (p. 212). </w:t>
      </w:r>
    </w:p>
    <w:p w:rsidR="00091A45" w:rsidRDefault="00091A45" w:rsidP="00091A45">
      <w:pPr>
        <w:spacing w:after="200" w:afterAutospacing="0"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Classroom Implications</w:t>
      </w:r>
    </w:p>
    <w:p w:rsidR="00000000" w:rsidRPr="00091A45" w:rsidRDefault="000D23F0" w:rsidP="00091A45">
      <w:pPr>
        <w:pStyle w:val="ListParagraph"/>
        <w:numPr>
          <w:ilvl w:val="0"/>
          <w:numId w:val="6"/>
        </w:numPr>
        <w:spacing w:after="200" w:afterAutospacing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091A45">
        <w:rPr>
          <w:rFonts w:ascii="Times New Roman" w:hAnsi="Times New Roman" w:cs="Times New Roman"/>
          <w:sz w:val="24"/>
          <w:szCs w:val="24"/>
        </w:rPr>
        <w:t>Be cautious about using activities that reinforce a referential view of language such as listing defini</w:t>
      </w:r>
      <w:r w:rsidRPr="00091A45">
        <w:rPr>
          <w:rFonts w:ascii="Times New Roman" w:hAnsi="Times New Roman" w:cs="Times New Roman"/>
          <w:sz w:val="24"/>
          <w:szCs w:val="24"/>
        </w:rPr>
        <w:t>tions in isolation.</w:t>
      </w:r>
    </w:p>
    <w:p w:rsidR="00000000" w:rsidRPr="00091A45" w:rsidRDefault="000D23F0" w:rsidP="00091A45">
      <w:pPr>
        <w:pStyle w:val="ListParagraph"/>
        <w:numPr>
          <w:ilvl w:val="0"/>
          <w:numId w:val="6"/>
        </w:numPr>
        <w:spacing w:after="200" w:afterAutospacing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091A45">
        <w:rPr>
          <w:rFonts w:ascii="Times New Roman" w:hAnsi="Times New Roman" w:cs="Times New Roman"/>
          <w:sz w:val="24"/>
          <w:szCs w:val="24"/>
        </w:rPr>
        <w:t xml:space="preserve">Expand notions of what counts as language in school beyond Standard English. </w:t>
      </w:r>
    </w:p>
    <w:p w:rsidR="00000000" w:rsidRPr="00091A45" w:rsidRDefault="007336BE" w:rsidP="00091A45">
      <w:pPr>
        <w:pStyle w:val="ListParagraph"/>
        <w:numPr>
          <w:ilvl w:val="0"/>
          <w:numId w:val="6"/>
        </w:numPr>
        <w:spacing w:after="200" w:afterAutospacing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Promote critical literacy skills</w:t>
      </w:r>
      <w:r w:rsidR="000D23F0" w:rsidRPr="00091A45">
        <w:rPr>
          <w:rFonts w:ascii="Times New Roman" w:hAnsi="Times New Roman" w:cs="Times New Roman"/>
          <w:sz w:val="24"/>
          <w:szCs w:val="24"/>
        </w:rPr>
        <w:t>.</w:t>
      </w:r>
    </w:p>
    <w:p w:rsidR="00000000" w:rsidRPr="00091A45" w:rsidRDefault="00F24CB5" w:rsidP="00091A45">
      <w:pPr>
        <w:pStyle w:val="ListParagraph"/>
        <w:numPr>
          <w:ilvl w:val="0"/>
          <w:numId w:val="6"/>
        </w:numPr>
        <w:spacing w:after="200" w:afterAutospacing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Implement c</w:t>
      </w:r>
      <w:r w:rsidR="000D23F0" w:rsidRPr="00091A45">
        <w:rPr>
          <w:rFonts w:ascii="Times New Roman" w:hAnsi="Times New Roman" w:cs="Times New Roman"/>
          <w:sz w:val="24"/>
          <w:szCs w:val="24"/>
        </w:rPr>
        <w:t>ulturally relevant curriculum</w:t>
      </w:r>
      <w:r w:rsidR="000D23F0" w:rsidRPr="00091A4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91A45" w:rsidRDefault="000D23F0" w:rsidP="00091A45">
      <w:pPr>
        <w:pStyle w:val="ListParagraph"/>
        <w:numPr>
          <w:ilvl w:val="0"/>
          <w:numId w:val="6"/>
        </w:numPr>
        <w:spacing w:after="200" w:afterAutospacing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091A45">
        <w:rPr>
          <w:rFonts w:ascii="Times New Roman" w:hAnsi="Times New Roman" w:cs="Times New Roman"/>
          <w:sz w:val="24"/>
          <w:szCs w:val="24"/>
        </w:rPr>
        <w:t>Teacher reflection about the ideologies that i</w:t>
      </w:r>
      <w:r w:rsidRPr="00091A45">
        <w:rPr>
          <w:rFonts w:ascii="Times New Roman" w:hAnsi="Times New Roman" w:cs="Times New Roman"/>
          <w:sz w:val="24"/>
          <w:szCs w:val="24"/>
        </w:rPr>
        <w:t xml:space="preserve">nfluence their practice. </w:t>
      </w:r>
    </w:p>
    <w:p w:rsidR="00091A45" w:rsidRDefault="00091A45" w:rsidP="00091A45">
      <w:pPr>
        <w:spacing w:after="200" w:afterAutospacing="0" w:line="240" w:lineRule="auto"/>
        <w:jc w:val="lef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91A45">
        <w:rPr>
          <w:rFonts w:ascii="Times New Roman" w:hAnsi="Times New Roman" w:cs="Times New Roman"/>
          <w:b/>
          <w:sz w:val="24"/>
          <w:szCs w:val="24"/>
          <w:u w:val="single"/>
        </w:rPr>
        <w:t>Resources to Support Classroom Implications</w:t>
      </w:r>
    </w:p>
    <w:p w:rsidR="00E25934" w:rsidRPr="00E25934" w:rsidRDefault="00E25934" w:rsidP="00E25934">
      <w:pPr>
        <w:spacing w:after="200" w:afterAutospacing="0" w:line="240" w:lineRule="auto"/>
        <w:ind w:left="288" w:hanging="28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Allen, J. (1999). </w:t>
      </w:r>
      <w:r>
        <w:rPr>
          <w:rFonts w:ascii="Times New Roman" w:hAnsi="Times New Roman" w:cs="Times New Roman"/>
          <w:i/>
          <w:sz w:val="24"/>
          <w:szCs w:val="24"/>
        </w:rPr>
        <w:t xml:space="preserve">Words, words, words: Teaching vocabulary in grades 4-12. </w:t>
      </w:r>
      <w:r>
        <w:rPr>
          <w:rFonts w:ascii="Times New Roman" w:hAnsi="Times New Roman" w:cs="Times New Roman"/>
          <w:sz w:val="24"/>
          <w:szCs w:val="24"/>
        </w:rPr>
        <w:t xml:space="preserve">York, ME: </w:t>
      </w:r>
      <w:proofErr w:type="spellStart"/>
      <w:r>
        <w:rPr>
          <w:rFonts w:ascii="Times New Roman" w:hAnsi="Times New Roman" w:cs="Times New Roman"/>
          <w:sz w:val="24"/>
          <w:szCs w:val="24"/>
        </w:rPr>
        <w:t>Stenhouse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91A45" w:rsidRDefault="00E25934" w:rsidP="00E25934">
      <w:pPr>
        <w:spacing w:after="200" w:afterAutospacing="0" w:line="240" w:lineRule="auto"/>
        <w:ind w:left="288" w:hanging="288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Beck, I.L., </w:t>
      </w:r>
      <w:proofErr w:type="spellStart"/>
      <w:r>
        <w:rPr>
          <w:rFonts w:ascii="Times New Roman" w:hAnsi="Times New Roman" w:cs="Times New Roman"/>
          <w:sz w:val="24"/>
          <w:szCs w:val="24"/>
        </w:rPr>
        <w:t>McKeown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M.G., &amp; </w:t>
      </w:r>
      <w:proofErr w:type="spellStart"/>
      <w:r>
        <w:rPr>
          <w:rFonts w:ascii="Times New Roman" w:hAnsi="Times New Roman" w:cs="Times New Roman"/>
          <w:sz w:val="24"/>
          <w:szCs w:val="24"/>
        </w:rPr>
        <w:t>Kucan</w:t>
      </w:r>
      <w:proofErr w:type="spellEnd"/>
      <w:r>
        <w:rPr>
          <w:rFonts w:ascii="Times New Roman" w:hAnsi="Times New Roman" w:cs="Times New Roman"/>
          <w:sz w:val="24"/>
          <w:szCs w:val="24"/>
        </w:rPr>
        <w:t>, L. (2002).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Bringing words to life: Robust vocabulary instruction.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New York: The Guilford Press. </w:t>
      </w:r>
    </w:p>
    <w:p w:rsidR="007336BE" w:rsidRPr="007336BE" w:rsidRDefault="007336BE" w:rsidP="00E25934">
      <w:pPr>
        <w:spacing w:after="200" w:afterAutospacing="0" w:line="240" w:lineRule="auto"/>
        <w:ind w:left="288" w:hanging="288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Delpit</w:t>
      </w:r>
      <w:proofErr w:type="spellEnd"/>
      <w:r>
        <w:rPr>
          <w:rFonts w:ascii="Times New Roman" w:hAnsi="Times New Roman" w:cs="Times New Roman"/>
          <w:sz w:val="24"/>
          <w:szCs w:val="24"/>
        </w:rPr>
        <w:t>, L. &amp; Dowdy, J.K., Eds. (2008).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The skin that we speak: Thoughts on language and culture in the classroom. </w:t>
      </w:r>
      <w:r>
        <w:rPr>
          <w:rFonts w:ascii="Times New Roman" w:hAnsi="Times New Roman" w:cs="Times New Roman"/>
          <w:sz w:val="24"/>
          <w:szCs w:val="24"/>
        </w:rPr>
        <w:t>New York: The New Press.</w:t>
      </w:r>
    </w:p>
    <w:p w:rsidR="007336BE" w:rsidRDefault="007336BE" w:rsidP="00E25934">
      <w:pPr>
        <w:spacing w:after="200" w:afterAutospacing="0" w:line="240" w:lineRule="auto"/>
        <w:ind w:left="288" w:hanging="28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Lee, C. (2007). </w:t>
      </w:r>
      <w:r>
        <w:rPr>
          <w:rFonts w:ascii="Times New Roman" w:hAnsi="Times New Roman" w:cs="Times New Roman"/>
          <w:i/>
          <w:sz w:val="24"/>
          <w:szCs w:val="24"/>
        </w:rPr>
        <w:t xml:space="preserve">Culture, literacy and learning: Taking bloom in the midst of the whirlwind. </w:t>
      </w:r>
      <w:r>
        <w:rPr>
          <w:rFonts w:ascii="Times New Roman" w:hAnsi="Times New Roman" w:cs="Times New Roman"/>
          <w:sz w:val="24"/>
          <w:szCs w:val="24"/>
        </w:rPr>
        <w:t>New York: Teachers College Press.</w:t>
      </w:r>
    </w:p>
    <w:p w:rsidR="007336BE" w:rsidRPr="007336BE" w:rsidRDefault="007336BE" w:rsidP="00E25934">
      <w:pPr>
        <w:spacing w:after="200" w:afterAutospacing="0" w:line="240" w:lineRule="auto"/>
        <w:ind w:left="288" w:hanging="28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Lippi-Green, R. (1997). </w:t>
      </w:r>
      <w:r>
        <w:rPr>
          <w:rFonts w:ascii="Times New Roman" w:hAnsi="Times New Roman" w:cs="Times New Roman"/>
          <w:i/>
          <w:sz w:val="24"/>
          <w:szCs w:val="24"/>
        </w:rPr>
        <w:t xml:space="preserve">English with an accent: Language, ideology and discrimination in the United States. </w:t>
      </w:r>
      <w:r>
        <w:rPr>
          <w:rFonts w:ascii="Times New Roman" w:hAnsi="Times New Roman" w:cs="Times New Roman"/>
          <w:sz w:val="24"/>
          <w:szCs w:val="24"/>
        </w:rPr>
        <w:t xml:space="preserve">London: </w:t>
      </w:r>
      <w:proofErr w:type="spellStart"/>
      <w:r>
        <w:rPr>
          <w:rFonts w:ascii="Times New Roman" w:hAnsi="Times New Roman" w:cs="Times New Roman"/>
          <w:sz w:val="24"/>
          <w:szCs w:val="24"/>
        </w:rPr>
        <w:t>Routledge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25934" w:rsidRPr="00E25934" w:rsidRDefault="00E25934" w:rsidP="00E25934">
      <w:pPr>
        <w:spacing w:after="200" w:afterAutospacing="0" w:line="240" w:lineRule="auto"/>
        <w:ind w:left="288" w:hanging="288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Vasquez, V. (</w:t>
      </w:r>
      <w:r w:rsidR="007336BE">
        <w:rPr>
          <w:rFonts w:ascii="Times New Roman" w:hAnsi="Times New Roman" w:cs="Times New Roman"/>
          <w:sz w:val="24"/>
          <w:szCs w:val="24"/>
        </w:rPr>
        <w:t>2003</w:t>
      </w:r>
      <w:r>
        <w:rPr>
          <w:rFonts w:ascii="Times New Roman" w:hAnsi="Times New Roman" w:cs="Times New Roman"/>
          <w:sz w:val="24"/>
          <w:szCs w:val="24"/>
        </w:rPr>
        <w:t>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Getting beyond I like the book: Creating spaces for critical literacy in K-6 classrooms. </w:t>
      </w:r>
      <w:r>
        <w:rPr>
          <w:rFonts w:ascii="Times New Roman" w:hAnsi="Times New Roman" w:cs="Times New Roman"/>
          <w:sz w:val="24"/>
          <w:szCs w:val="24"/>
        </w:rPr>
        <w:t xml:space="preserve">Newark, DE: International Reading Association. </w:t>
      </w:r>
    </w:p>
    <w:p w:rsidR="00E25934" w:rsidRPr="00E25934" w:rsidRDefault="00E25934" w:rsidP="00E25934">
      <w:pPr>
        <w:spacing w:after="200" w:afterAutospacing="0" w:line="240" w:lineRule="auto"/>
        <w:ind w:left="288" w:hanging="288"/>
        <w:jc w:val="left"/>
        <w:rPr>
          <w:rFonts w:ascii="Times New Roman" w:hAnsi="Times New Roman" w:cs="Times New Roman"/>
          <w:sz w:val="24"/>
          <w:szCs w:val="24"/>
        </w:rPr>
      </w:pPr>
    </w:p>
    <w:p w:rsidR="00091A45" w:rsidRPr="00091A45" w:rsidRDefault="00091A45" w:rsidP="00091A45">
      <w:pPr>
        <w:spacing w:after="200" w:afterAutospacing="0"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91205B" w:rsidRDefault="0091205B" w:rsidP="0091205B">
      <w:pPr>
        <w:pStyle w:val="ListParagraph"/>
        <w:spacing w:after="200" w:afterAutospacing="0"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7623BF" w:rsidRDefault="007623BF" w:rsidP="007336B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Works Cited in Presentation</w:t>
      </w:r>
    </w:p>
    <w:p w:rsidR="007623BF" w:rsidRDefault="007623BF" w:rsidP="007623B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D2046" w:rsidRDefault="00FD2046" w:rsidP="007623BF">
      <w:pPr>
        <w:spacing w:line="240" w:lineRule="auto"/>
        <w:contextualSpacing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Blommaert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J.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Verschueren</w:t>
      </w:r>
      <w:proofErr w:type="spellEnd"/>
      <w:r>
        <w:rPr>
          <w:rFonts w:ascii="Times New Roman" w:hAnsi="Times New Roman" w:cs="Times New Roman"/>
          <w:sz w:val="24"/>
          <w:szCs w:val="24"/>
        </w:rPr>
        <w:t>, J. (1998).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role of language in European nationalist  </w:t>
      </w:r>
    </w:p>
    <w:p w:rsidR="00FD2046" w:rsidRDefault="00FD2046" w:rsidP="007623BF">
      <w:pPr>
        <w:spacing w:line="240" w:lineRule="auto"/>
        <w:contextualSpacing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ideologies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In. B.B. </w:t>
      </w:r>
      <w:proofErr w:type="spellStart"/>
      <w:r>
        <w:rPr>
          <w:rFonts w:ascii="Times New Roman" w:hAnsi="Times New Roman" w:cs="Times New Roman"/>
          <w:sz w:val="24"/>
          <w:szCs w:val="24"/>
        </w:rPr>
        <w:t>Schieffelin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K.A. </w:t>
      </w:r>
      <w:proofErr w:type="spellStart"/>
      <w:r>
        <w:rPr>
          <w:rFonts w:ascii="Times New Roman" w:hAnsi="Times New Roman" w:cs="Times New Roman"/>
          <w:sz w:val="24"/>
          <w:szCs w:val="24"/>
        </w:rPr>
        <w:t>Woolard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&amp; P.V. </w:t>
      </w:r>
      <w:proofErr w:type="spellStart"/>
      <w:r>
        <w:rPr>
          <w:rFonts w:ascii="Times New Roman" w:hAnsi="Times New Roman" w:cs="Times New Roman"/>
          <w:sz w:val="24"/>
          <w:szCs w:val="24"/>
        </w:rPr>
        <w:t>Kroskrity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(Eds.).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Language  </w:t>
      </w:r>
    </w:p>
    <w:p w:rsidR="00FD2046" w:rsidRDefault="00FD2046" w:rsidP="007623BF">
      <w:pPr>
        <w:spacing w:line="240" w:lineRule="auto"/>
        <w:contextualSpacing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ideologies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: Practice and theory </w:t>
      </w:r>
      <w:r>
        <w:rPr>
          <w:rFonts w:ascii="Times New Roman" w:hAnsi="Times New Roman" w:cs="Times New Roman"/>
          <w:sz w:val="24"/>
          <w:szCs w:val="24"/>
        </w:rPr>
        <w:t>(189-210).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New York: Oxford University Press.</w:t>
      </w:r>
    </w:p>
    <w:p w:rsidR="0091205B" w:rsidRDefault="0091205B" w:rsidP="007623BF">
      <w:pPr>
        <w:spacing w:line="240" w:lineRule="auto"/>
        <w:contextualSpacing/>
        <w:jc w:val="left"/>
        <w:rPr>
          <w:rFonts w:ascii="Times New Roman" w:hAnsi="Times New Roman" w:cs="Times New Roman"/>
          <w:sz w:val="24"/>
          <w:szCs w:val="24"/>
        </w:rPr>
      </w:pPr>
    </w:p>
    <w:p w:rsidR="00FD2046" w:rsidRDefault="00FD2046" w:rsidP="007623BF">
      <w:pPr>
        <w:spacing w:line="240" w:lineRule="auto"/>
        <w:contextualSpacing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Guidotti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-Hernandez, N.M. (2007). </w:t>
      </w:r>
      <w:r>
        <w:rPr>
          <w:rFonts w:ascii="Times New Roman" w:hAnsi="Times New Roman" w:cs="Times New Roman"/>
          <w:i/>
          <w:sz w:val="24"/>
          <w:szCs w:val="24"/>
        </w:rPr>
        <w:t>Dora the Explorer</w:t>
      </w:r>
      <w:r>
        <w:rPr>
          <w:rFonts w:ascii="Times New Roman" w:hAnsi="Times New Roman" w:cs="Times New Roman"/>
          <w:sz w:val="24"/>
          <w:szCs w:val="24"/>
        </w:rPr>
        <w:t>, constructing “</w:t>
      </w:r>
      <w:proofErr w:type="spellStart"/>
      <w:r>
        <w:rPr>
          <w:rFonts w:ascii="Times New Roman" w:hAnsi="Times New Roman" w:cs="Times New Roman"/>
          <w:sz w:val="24"/>
          <w:szCs w:val="24"/>
        </w:rPr>
        <w:t>Latinidades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 and the </w:t>
      </w:r>
    </w:p>
    <w:p w:rsidR="00FD2046" w:rsidRDefault="00FD2046" w:rsidP="007623BF">
      <w:pPr>
        <w:spacing w:line="240" w:lineRule="auto"/>
        <w:contextualSpacing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politics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global citizenship. </w:t>
      </w:r>
      <w:r>
        <w:rPr>
          <w:rFonts w:ascii="Times New Roman" w:hAnsi="Times New Roman" w:cs="Times New Roman"/>
          <w:i/>
          <w:sz w:val="24"/>
          <w:szCs w:val="24"/>
        </w:rPr>
        <w:t>Latino Studies</w:t>
      </w:r>
      <w:r>
        <w:rPr>
          <w:rFonts w:ascii="Times New Roman" w:hAnsi="Times New Roman" w:cs="Times New Roman"/>
          <w:sz w:val="24"/>
          <w:szCs w:val="24"/>
        </w:rPr>
        <w:t>, 5, 209-232.</w:t>
      </w:r>
    </w:p>
    <w:p w:rsidR="0091205B" w:rsidRDefault="0091205B" w:rsidP="007623BF">
      <w:pPr>
        <w:spacing w:line="240" w:lineRule="auto"/>
        <w:contextualSpacing/>
        <w:jc w:val="left"/>
        <w:rPr>
          <w:rFonts w:ascii="Times New Roman" w:hAnsi="Times New Roman" w:cs="Times New Roman"/>
          <w:sz w:val="24"/>
          <w:szCs w:val="24"/>
        </w:rPr>
      </w:pPr>
    </w:p>
    <w:p w:rsidR="00FD2046" w:rsidRDefault="00FD2046" w:rsidP="00F24CB5">
      <w:pPr>
        <w:spacing w:line="240" w:lineRule="auto"/>
        <w:contextualSpacing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Hill, J.H. (2008).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The everyday language of white racism</w:t>
      </w:r>
      <w:r w:rsidR="00F24CB5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United Kingdom: Wiley-Blackwell.</w:t>
      </w:r>
    </w:p>
    <w:p w:rsidR="0091205B" w:rsidRDefault="0091205B" w:rsidP="007623BF">
      <w:pPr>
        <w:spacing w:line="240" w:lineRule="auto"/>
        <w:contextualSpacing/>
        <w:jc w:val="left"/>
        <w:rPr>
          <w:rFonts w:ascii="Times New Roman" w:hAnsi="Times New Roman" w:cs="Times New Roman"/>
          <w:sz w:val="24"/>
          <w:szCs w:val="24"/>
        </w:rPr>
      </w:pPr>
    </w:p>
    <w:p w:rsidR="00FD2046" w:rsidRDefault="00FD2046" w:rsidP="007623BF">
      <w:pPr>
        <w:spacing w:line="240" w:lineRule="auto"/>
        <w:contextualSpacing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Irvine, J.T. (1998). </w:t>
      </w:r>
      <w:proofErr w:type="gramStart"/>
      <w:r>
        <w:rPr>
          <w:rFonts w:ascii="Times New Roman" w:hAnsi="Times New Roman" w:cs="Times New Roman"/>
          <w:sz w:val="24"/>
          <w:szCs w:val="24"/>
        </w:rPr>
        <w:t>Ideologies of honorific language.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In. B.B. </w:t>
      </w:r>
      <w:proofErr w:type="spellStart"/>
      <w:r>
        <w:rPr>
          <w:rFonts w:ascii="Times New Roman" w:hAnsi="Times New Roman" w:cs="Times New Roman"/>
          <w:sz w:val="24"/>
          <w:szCs w:val="24"/>
        </w:rPr>
        <w:t>Schieffelin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K.A. </w:t>
      </w:r>
      <w:proofErr w:type="spellStart"/>
      <w:r>
        <w:rPr>
          <w:rFonts w:ascii="Times New Roman" w:hAnsi="Times New Roman" w:cs="Times New Roman"/>
          <w:sz w:val="24"/>
          <w:szCs w:val="24"/>
        </w:rPr>
        <w:t>Woolard</w:t>
      </w:r>
      <w:proofErr w:type="spellEnd"/>
      <w:r>
        <w:rPr>
          <w:rFonts w:ascii="Times New Roman" w:hAnsi="Times New Roman" w:cs="Times New Roman"/>
          <w:sz w:val="24"/>
          <w:szCs w:val="24"/>
        </w:rPr>
        <w:t>, &amp; P.V.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2046" w:rsidRDefault="00FD2046" w:rsidP="007623BF">
      <w:pPr>
        <w:spacing w:line="240" w:lineRule="auto"/>
        <w:ind w:left="285"/>
        <w:contextualSpacing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Kroskrity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(Eds.). </w:t>
      </w:r>
      <w:r>
        <w:rPr>
          <w:rFonts w:ascii="Times New Roman" w:hAnsi="Times New Roman" w:cs="Times New Roman"/>
          <w:i/>
          <w:sz w:val="24"/>
          <w:szCs w:val="24"/>
        </w:rPr>
        <w:t xml:space="preserve">Language ideologies: Practice and theory </w:t>
      </w:r>
      <w:r>
        <w:rPr>
          <w:rFonts w:ascii="Times New Roman" w:hAnsi="Times New Roman" w:cs="Times New Roman"/>
          <w:sz w:val="24"/>
          <w:szCs w:val="24"/>
        </w:rPr>
        <w:t>(51-67).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New York: Oxford University Press.</w:t>
      </w:r>
    </w:p>
    <w:p w:rsidR="0091205B" w:rsidRDefault="0091205B" w:rsidP="007623BF">
      <w:pPr>
        <w:spacing w:line="240" w:lineRule="auto"/>
        <w:ind w:left="285"/>
        <w:contextualSpacing/>
        <w:jc w:val="left"/>
        <w:rPr>
          <w:rFonts w:ascii="Times New Roman" w:hAnsi="Times New Roman" w:cs="Times New Roman"/>
          <w:sz w:val="24"/>
          <w:szCs w:val="24"/>
        </w:rPr>
      </w:pPr>
    </w:p>
    <w:p w:rsidR="00FD2046" w:rsidRDefault="00FD2046" w:rsidP="007623BF">
      <w:pPr>
        <w:spacing w:line="240" w:lineRule="auto"/>
        <w:contextualSpacing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Mertz, E. </w:t>
      </w:r>
      <w:r>
        <w:rPr>
          <w:rFonts w:ascii="Times New Roman" w:hAnsi="Times New Roman" w:cs="Times New Roman"/>
          <w:sz w:val="24"/>
          <w:szCs w:val="24"/>
        </w:rPr>
        <w:t>(1998). Linguistic ideology and praxis in U.S. law school classrooms.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In. B.B. </w:t>
      </w:r>
    </w:p>
    <w:p w:rsidR="00FD2046" w:rsidRDefault="00FD2046" w:rsidP="007623BF">
      <w:pPr>
        <w:spacing w:line="240" w:lineRule="auto"/>
        <w:contextualSpacing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Schieffelin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K.A. </w:t>
      </w:r>
      <w:proofErr w:type="spellStart"/>
      <w:r>
        <w:rPr>
          <w:rFonts w:ascii="Times New Roman" w:hAnsi="Times New Roman" w:cs="Times New Roman"/>
          <w:sz w:val="24"/>
          <w:szCs w:val="24"/>
        </w:rPr>
        <w:t>Woolard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&amp; P.V. </w:t>
      </w:r>
      <w:proofErr w:type="spellStart"/>
      <w:r>
        <w:rPr>
          <w:rFonts w:ascii="Times New Roman" w:hAnsi="Times New Roman" w:cs="Times New Roman"/>
          <w:sz w:val="24"/>
          <w:szCs w:val="24"/>
        </w:rPr>
        <w:t>Kroskrity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(Eds.).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Language ideologies: Practice and </w:t>
      </w:r>
    </w:p>
    <w:p w:rsidR="00FD2046" w:rsidRDefault="00FD2046" w:rsidP="007623BF">
      <w:pPr>
        <w:spacing w:line="240" w:lineRule="auto"/>
        <w:contextualSpacing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theory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(149-162).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New York: Oxford University Press.</w:t>
      </w:r>
    </w:p>
    <w:p w:rsidR="0091205B" w:rsidRDefault="0091205B" w:rsidP="007623BF">
      <w:pPr>
        <w:spacing w:line="240" w:lineRule="auto"/>
        <w:contextualSpacing/>
        <w:jc w:val="left"/>
        <w:rPr>
          <w:rFonts w:ascii="Times New Roman" w:hAnsi="Times New Roman" w:cs="Times New Roman"/>
          <w:sz w:val="24"/>
          <w:szCs w:val="24"/>
        </w:rPr>
      </w:pPr>
    </w:p>
    <w:p w:rsidR="00FD2046" w:rsidRDefault="00FD2046" w:rsidP="007623BF">
      <w:pPr>
        <w:spacing w:line="240" w:lineRule="auto"/>
        <w:contextualSpacing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Shannon, S.M. (1999). The debate on bilingual education in the U.S.: Language ideology as </w:t>
      </w:r>
    </w:p>
    <w:p w:rsidR="00FD2046" w:rsidRDefault="00FD2046" w:rsidP="007623BF">
      <w:pPr>
        <w:spacing w:line="240" w:lineRule="auto"/>
        <w:ind w:left="285"/>
        <w:contextualSpacing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reflected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practice of bilingual teachers. </w:t>
      </w:r>
      <w:proofErr w:type="gramStart"/>
      <w:r>
        <w:rPr>
          <w:rFonts w:ascii="Times New Roman" w:hAnsi="Times New Roman" w:cs="Times New Roman"/>
          <w:sz w:val="24"/>
          <w:szCs w:val="24"/>
        </w:rPr>
        <w:t>In M. Heller &amp; R.J. Watts (Eds.).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>Language ideological debates</w:t>
      </w:r>
      <w:r>
        <w:rPr>
          <w:rFonts w:ascii="Times New Roman" w:hAnsi="Times New Roman" w:cs="Times New Roman"/>
          <w:sz w:val="24"/>
          <w:szCs w:val="24"/>
        </w:rPr>
        <w:t xml:space="preserve"> (171-199). New York: Mouton de </w:t>
      </w:r>
      <w:proofErr w:type="spellStart"/>
      <w:r>
        <w:rPr>
          <w:rFonts w:ascii="Times New Roman" w:hAnsi="Times New Roman" w:cs="Times New Roman"/>
          <w:sz w:val="24"/>
          <w:szCs w:val="24"/>
        </w:rPr>
        <w:t>Gruyter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1205B" w:rsidRPr="00725A9A" w:rsidRDefault="0091205B" w:rsidP="007623BF">
      <w:pPr>
        <w:spacing w:line="240" w:lineRule="auto"/>
        <w:ind w:left="285"/>
        <w:contextualSpacing/>
        <w:jc w:val="left"/>
        <w:rPr>
          <w:rFonts w:ascii="Times New Roman" w:hAnsi="Times New Roman" w:cs="Times New Roman"/>
          <w:sz w:val="24"/>
          <w:szCs w:val="24"/>
        </w:rPr>
      </w:pPr>
    </w:p>
    <w:p w:rsidR="00FD2046" w:rsidRDefault="00FD2046" w:rsidP="007623BF">
      <w:pPr>
        <w:spacing w:line="240" w:lineRule="auto"/>
        <w:contextualSpacing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Silverstein, M. (1996).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Monoglot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“standard” in America: Standardization and metaphors of </w:t>
      </w:r>
    </w:p>
    <w:p w:rsidR="00FD2046" w:rsidRPr="0061452F" w:rsidRDefault="00FD2046" w:rsidP="007623BF">
      <w:pPr>
        <w:spacing w:line="240" w:lineRule="auto"/>
        <w:ind w:left="570"/>
        <w:contextualSpacing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linguistic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hegemony.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In D. </w:t>
      </w:r>
      <w:proofErr w:type="spellStart"/>
      <w:r>
        <w:rPr>
          <w:rFonts w:ascii="Times New Roman" w:hAnsi="Times New Roman" w:cs="Times New Roman"/>
          <w:sz w:val="24"/>
          <w:szCs w:val="24"/>
        </w:rPr>
        <w:t>Brenneis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&amp; R.K.S. Macaulay (Eds.).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The matrix of language</w:t>
      </w:r>
      <w:r>
        <w:rPr>
          <w:rFonts w:ascii="Times New Roman" w:hAnsi="Times New Roman" w:cs="Times New Roman"/>
          <w:sz w:val="24"/>
          <w:szCs w:val="24"/>
        </w:rPr>
        <w:t xml:space="preserve">, Boulder, CO: </w:t>
      </w:r>
      <w:proofErr w:type="spellStart"/>
      <w:r>
        <w:rPr>
          <w:rFonts w:ascii="Times New Roman" w:hAnsi="Times New Roman" w:cs="Times New Roman"/>
          <w:sz w:val="24"/>
          <w:szCs w:val="24"/>
        </w:rPr>
        <w:t>Westview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Press.</w:t>
      </w:r>
    </w:p>
    <w:p w:rsidR="002D3484" w:rsidRDefault="002D3484" w:rsidP="007623BF">
      <w:pPr>
        <w:spacing w:line="240" w:lineRule="auto"/>
      </w:pPr>
    </w:p>
    <w:p w:rsidR="007623BF" w:rsidRDefault="007623BF" w:rsidP="007623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i/>
          <w:sz w:val="24"/>
          <w:szCs w:val="24"/>
        </w:rPr>
        <w:t>Dora the Explorer</w:t>
      </w:r>
      <w:r>
        <w:rPr>
          <w:rFonts w:ascii="Times New Roman" w:hAnsi="Times New Roman" w:cs="Times New Roman"/>
          <w:sz w:val="24"/>
          <w:szCs w:val="24"/>
        </w:rPr>
        <w:t xml:space="preserve"> Bibliography</w:t>
      </w:r>
    </w:p>
    <w:p w:rsidR="007623BF" w:rsidRDefault="007623BF" w:rsidP="007623BF">
      <w:pPr>
        <w:spacing w:line="240" w:lineRule="auto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Casanova, E.M. (2007).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Spanish language and Latino ethnicity in children’s television programs.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7623BF" w:rsidRDefault="007623BF" w:rsidP="007623BF">
      <w:pPr>
        <w:spacing w:line="240" w:lineRule="auto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Latino Studies,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5, 455-477.</w:t>
      </w:r>
    </w:p>
    <w:p w:rsidR="0091205B" w:rsidRDefault="0091205B" w:rsidP="007623BF">
      <w:pPr>
        <w:spacing w:line="240" w:lineRule="auto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623BF" w:rsidRDefault="007623BF" w:rsidP="007623BF">
      <w:pPr>
        <w:spacing w:line="240" w:lineRule="auto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Chappell, D. (2010). “Better multiculturalism” through technology: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Dora the Explorer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the </w:t>
      </w:r>
    </w:p>
    <w:p w:rsidR="007623BF" w:rsidRDefault="007623BF" w:rsidP="007623BF">
      <w:pPr>
        <w:spacing w:line="240" w:lineRule="auto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training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of the preschool viewer(s).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Red Feather,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1:2, 11-35.</w:t>
      </w:r>
    </w:p>
    <w:p w:rsidR="0091205B" w:rsidRDefault="0091205B" w:rsidP="007623BF">
      <w:pPr>
        <w:spacing w:line="240" w:lineRule="auto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623BF" w:rsidRDefault="007623BF" w:rsidP="007623BF">
      <w:pPr>
        <w:spacing w:line="240" w:lineRule="auto"/>
        <w:contextualSpacing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Harewood</w:t>
      </w:r>
      <w:proofErr w:type="spellEnd"/>
      <w:r>
        <w:rPr>
          <w:rFonts w:ascii="Times New Roman" w:hAnsi="Times New Roman" w:cs="Times New Roman"/>
          <w:sz w:val="24"/>
          <w:szCs w:val="24"/>
        </w:rPr>
        <w:t>, S.J. &amp; Valdivia, A.N. (2005).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Exploring Dora: Re-embodied </w:t>
      </w:r>
      <w:proofErr w:type="spellStart"/>
      <w:r>
        <w:rPr>
          <w:rFonts w:ascii="Times New Roman" w:hAnsi="Times New Roman" w:cs="Times New Roman"/>
          <w:sz w:val="24"/>
          <w:szCs w:val="24"/>
        </w:rPr>
        <w:t>Latinidad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on the web.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In </w:t>
      </w:r>
    </w:p>
    <w:p w:rsidR="007623BF" w:rsidRDefault="007623BF" w:rsidP="007623BF">
      <w:pPr>
        <w:spacing w:line="240" w:lineRule="auto"/>
        <w:ind w:left="285"/>
        <w:contextualSpacing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S.R. </w:t>
      </w:r>
      <w:proofErr w:type="spellStart"/>
      <w:r>
        <w:rPr>
          <w:rFonts w:ascii="Times New Roman" w:hAnsi="Times New Roman" w:cs="Times New Roman"/>
          <w:sz w:val="24"/>
          <w:szCs w:val="24"/>
        </w:rPr>
        <w:t>Mazzarella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(Ed.). </w:t>
      </w:r>
      <w:r>
        <w:rPr>
          <w:rFonts w:ascii="Times New Roman" w:hAnsi="Times New Roman" w:cs="Times New Roman"/>
          <w:i/>
          <w:sz w:val="24"/>
          <w:szCs w:val="24"/>
        </w:rPr>
        <w:t>Girl wide web: Girls, the internet, and the negotiation of identity</w:t>
      </w:r>
      <w:r>
        <w:rPr>
          <w:rFonts w:ascii="Times New Roman" w:hAnsi="Times New Roman" w:cs="Times New Roman"/>
          <w:sz w:val="24"/>
          <w:szCs w:val="24"/>
        </w:rPr>
        <w:t xml:space="preserve"> (85-103).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New York: Peter Lang.</w:t>
      </w:r>
    </w:p>
    <w:p w:rsidR="0091205B" w:rsidRDefault="0091205B" w:rsidP="007623BF">
      <w:pPr>
        <w:spacing w:line="240" w:lineRule="auto"/>
        <w:ind w:left="285"/>
        <w:contextualSpacing/>
        <w:jc w:val="left"/>
        <w:rPr>
          <w:rFonts w:ascii="Times New Roman" w:hAnsi="Times New Roman" w:cs="Times New Roman"/>
          <w:sz w:val="24"/>
          <w:szCs w:val="24"/>
        </w:rPr>
      </w:pPr>
    </w:p>
    <w:p w:rsidR="007623BF" w:rsidRDefault="007623BF" w:rsidP="007623BF">
      <w:pPr>
        <w:spacing w:line="240" w:lineRule="auto"/>
        <w:contextualSpacing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Popp, R.K. (2006). Mass media and the linguistic marketplace: Media, language, and distinction. </w:t>
      </w:r>
    </w:p>
    <w:p w:rsidR="007623BF" w:rsidRPr="00A63E17" w:rsidRDefault="007623BF" w:rsidP="007623BF">
      <w:pPr>
        <w:spacing w:line="240" w:lineRule="auto"/>
        <w:contextualSpacing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i/>
          <w:sz w:val="24"/>
          <w:szCs w:val="24"/>
        </w:rPr>
        <w:t xml:space="preserve">Journal of Communication Inquiry, </w:t>
      </w:r>
      <w:r>
        <w:rPr>
          <w:rFonts w:ascii="Times New Roman" w:hAnsi="Times New Roman" w:cs="Times New Roman"/>
          <w:sz w:val="24"/>
          <w:szCs w:val="24"/>
        </w:rPr>
        <w:t>30:5, 5-20.</w:t>
      </w:r>
    </w:p>
    <w:p w:rsidR="007623BF" w:rsidRPr="00A63E17" w:rsidRDefault="007623BF" w:rsidP="007623BF">
      <w:pPr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623BF" w:rsidRPr="007623BF" w:rsidRDefault="007623BF" w:rsidP="007623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623BF" w:rsidRPr="007623BF" w:rsidRDefault="007623BF" w:rsidP="007623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7623BF" w:rsidRPr="007623BF" w:rsidSect="0091205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23F0" w:rsidRDefault="000D23F0" w:rsidP="0091205B">
      <w:pPr>
        <w:spacing w:after="0" w:line="240" w:lineRule="auto"/>
      </w:pPr>
      <w:r>
        <w:separator/>
      </w:r>
    </w:p>
  </w:endnote>
  <w:endnote w:type="continuationSeparator" w:id="0">
    <w:p w:rsidR="000D23F0" w:rsidRDefault="000D23F0" w:rsidP="00912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23F0" w:rsidRDefault="000D23F0" w:rsidP="0091205B">
      <w:pPr>
        <w:spacing w:after="0" w:line="240" w:lineRule="auto"/>
      </w:pPr>
      <w:r>
        <w:separator/>
      </w:r>
    </w:p>
  </w:footnote>
  <w:footnote w:type="continuationSeparator" w:id="0">
    <w:p w:rsidR="000D23F0" w:rsidRDefault="000D23F0" w:rsidP="009120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D3CC3"/>
    <w:multiLevelType w:val="hybridMultilevel"/>
    <w:tmpl w:val="E6725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B10FB7"/>
    <w:multiLevelType w:val="hybridMultilevel"/>
    <w:tmpl w:val="16E84AA8"/>
    <w:lvl w:ilvl="0" w:tplc="91DE8BD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DB870F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2A937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A6AF1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524FCF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849A7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E2082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0EE00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392FE6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3917E42"/>
    <w:multiLevelType w:val="hybridMultilevel"/>
    <w:tmpl w:val="1B5AC42E"/>
    <w:lvl w:ilvl="0" w:tplc="A9A8048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282726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6AD78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46847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634735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4B4A00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A88A1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1CF0A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F4D5B0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37647C"/>
    <w:multiLevelType w:val="hybridMultilevel"/>
    <w:tmpl w:val="4CF47FF4"/>
    <w:lvl w:ilvl="0" w:tplc="210C38C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AA9A60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2E6113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C6FFF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4748DC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030A64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B68ED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1ACF7E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76857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C593683"/>
    <w:multiLevelType w:val="hybridMultilevel"/>
    <w:tmpl w:val="C77C9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66304C"/>
    <w:multiLevelType w:val="hybridMultilevel"/>
    <w:tmpl w:val="38F6AD40"/>
    <w:lvl w:ilvl="0" w:tplc="F96C694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1C6876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56984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9E7208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36A9D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EC567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665E3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AE05D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C6F460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2046"/>
    <w:rsid w:val="00091A45"/>
    <w:rsid w:val="000D23F0"/>
    <w:rsid w:val="002D3484"/>
    <w:rsid w:val="007336BE"/>
    <w:rsid w:val="007623BF"/>
    <w:rsid w:val="0091205B"/>
    <w:rsid w:val="00E25934"/>
    <w:rsid w:val="00F24CB5"/>
    <w:rsid w:val="00FD2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046"/>
    <w:pPr>
      <w:spacing w:after="100" w:afterAutospacing="1" w:line="480" w:lineRule="auto"/>
      <w:jc w:val="center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120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205B"/>
  </w:style>
  <w:style w:type="paragraph" w:styleId="Footer">
    <w:name w:val="footer"/>
    <w:basedOn w:val="Normal"/>
    <w:link w:val="FooterChar"/>
    <w:uiPriority w:val="99"/>
    <w:semiHidden/>
    <w:unhideWhenUsed/>
    <w:rsid w:val="009120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205B"/>
  </w:style>
  <w:style w:type="character" w:styleId="Hyperlink">
    <w:name w:val="Hyperlink"/>
    <w:basedOn w:val="DefaultParagraphFont"/>
    <w:uiPriority w:val="99"/>
    <w:unhideWhenUsed/>
    <w:rsid w:val="0091205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1205B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120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556009">
      <w:bodyDiv w:val="1"/>
      <w:marLeft w:val="0"/>
      <w:marRight w:val="0"/>
      <w:marTop w:val="72"/>
      <w:marBottom w:val="7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76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197412">
              <w:marLeft w:val="0"/>
              <w:marRight w:val="0"/>
              <w:marTop w:val="12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3439739">
      <w:bodyDiv w:val="1"/>
      <w:marLeft w:val="0"/>
      <w:marRight w:val="0"/>
      <w:marTop w:val="72"/>
      <w:marBottom w:val="7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26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132008">
              <w:marLeft w:val="0"/>
              <w:marRight w:val="0"/>
              <w:marTop w:val="12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57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799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64983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5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1047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86172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3455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8727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279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891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7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61593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shunt@ilstu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1600</TotalTime>
  <Pages>2</Pages>
  <Words>645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</dc:creator>
  <cp:lastModifiedBy>Carolyn</cp:lastModifiedBy>
  <cp:revision>1</cp:revision>
  <dcterms:created xsi:type="dcterms:W3CDTF">2011-02-09T21:28:00Z</dcterms:created>
  <dcterms:modified xsi:type="dcterms:W3CDTF">2011-02-11T00:27:00Z</dcterms:modified>
</cp:coreProperties>
</file>